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B2D7E" w14:textId="4BFD8E82" w:rsidR="001B1D00" w:rsidRPr="00787BBD" w:rsidRDefault="001B1D00" w:rsidP="001B1D00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787BBD">
        <w:rPr>
          <w:rFonts w:ascii="Times New Roman" w:hAnsi="Times New Roman" w:cs="Times New Roman"/>
          <w:b/>
          <w:bCs/>
          <w:sz w:val="24"/>
          <w:szCs w:val="24"/>
        </w:rPr>
        <w:t>Uji Normalitas</w:t>
      </w:r>
    </w:p>
    <w:tbl>
      <w:tblPr>
        <w:tblW w:w="834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8"/>
        <w:gridCol w:w="1029"/>
        <w:gridCol w:w="1030"/>
        <w:gridCol w:w="1030"/>
        <w:gridCol w:w="1030"/>
        <w:gridCol w:w="1030"/>
        <w:gridCol w:w="1030"/>
      </w:tblGrid>
      <w:tr w:rsidR="001B1D00" w:rsidRPr="00787BBD" w14:paraId="679A64B9" w14:textId="77777777" w:rsidTr="00787BBD">
        <w:trPr>
          <w:cantSplit/>
          <w:jc w:val="center"/>
        </w:trPr>
        <w:tc>
          <w:tcPr>
            <w:tcW w:w="8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3D0FF7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Tests of Normality</w:t>
            </w:r>
          </w:p>
        </w:tc>
      </w:tr>
      <w:tr w:rsidR="001B1D00" w:rsidRPr="00787BBD" w14:paraId="4DFD223A" w14:textId="77777777" w:rsidTr="00787BBD">
        <w:trPr>
          <w:cantSplit/>
          <w:jc w:val="center"/>
        </w:trPr>
        <w:tc>
          <w:tcPr>
            <w:tcW w:w="21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16FFED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64DE18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Kolmogorov-Smirnov</w:t>
            </w: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2A924FF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Shapiro-Wilk</w:t>
            </w:r>
          </w:p>
        </w:tc>
      </w:tr>
      <w:tr w:rsidR="001B1D00" w:rsidRPr="00787BBD" w14:paraId="1D6EFD93" w14:textId="77777777" w:rsidTr="00787BBD">
        <w:trPr>
          <w:cantSplit/>
          <w:jc w:val="center"/>
        </w:trPr>
        <w:tc>
          <w:tcPr>
            <w:tcW w:w="21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16F1E0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49D9F2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3ADBE8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13063C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E2F30E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932FF5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A3BBF8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</w:t>
            </w:r>
          </w:p>
        </w:tc>
      </w:tr>
      <w:tr w:rsidR="001B1D00" w:rsidRPr="00787BBD" w14:paraId="04AB5AC4" w14:textId="77777777" w:rsidTr="00787BBD">
        <w:trPr>
          <w:cantSplit/>
          <w:jc w:val="center"/>
        </w:trPr>
        <w:tc>
          <w:tcPr>
            <w:tcW w:w="21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2BA22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Pretest 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Pengetahuan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AB79FF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.176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742F0F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3E435E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AB3CBA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.904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455B4C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CC677F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</w:tr>
      <w:tr w:rsidR="001B1D00" w:rsidRPr="00787BBD" w14:paraId="72684873" w14:textId="77777777" w:rsidTr="00787BBD">
        <w:trPr>
          <w:cantSplit/>
          <w:jc w:val="center"/>
        </w:trPr>
        <w:tc>
          <w:tcPr>
            <w:tcW w:w="21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5CCB2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Pretest 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Kepatuhan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4AAB0C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.196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90B1CB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0188B2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E5E73C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E4C914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02EDC5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</w:tr>
      <w:tr w:rsidR="001B1D00" w:rsidRPr="00787BBD" w14:paraId="16AAEE45" w14:textId="77777777" w:rsidTr="00787BBD">
        <w:trPr>
          <w:cantSplit/>
          <w:jc w:val="center"/>
        </w:trPr>
        <w:tc>
          <w:tcPr>
            <w:tcW w:w="21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05239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Posttest</w:t>
            </w:r>
            <w:proofErr w:type="spellEnd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Pengetahuan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4F24A7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.201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E139B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82DB60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26E950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D16A11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DEFD5F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</w:tr>
      <w:tr w:rsidR="001B1D00" w:rsidRPr="00787BBD" w14:paraId="7096A21E" w14:textId="77777777" w:rsidTr="00787BBD">
        <w:trPr>
          <w:cantSplit/>
          <w:jc w:val="center"/>
        </w:trPr>
        <w:tc>
          <w:tcPr>
            <w:tcW w:w="21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838EDB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Posttenst</w:t>
            </w:r>
            <w:proofErr w:type="spellEnd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Kepatuhan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0C2D77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.227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391A21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FAC2D0C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48DCA8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.835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45F4D2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7CDE352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</w:tr>
      <w:tr w:rsidR="001B1D00" w:rsidRPr="00787BBD" w14:paraId="02DD2F81" w14:textId="77777777" w:rsidTr="00787BBD">
        <w:trPr>
          <w:cantSplit/>
          <w:jc w:val="center"/>
        </w:trPr>
        <w:tc>
          <w:tcPr>
            <w:tcW w:w="8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D6573A" w14:textId="77777777" w:rsidR="001B1D00" w:rsidRPr="00787BBD" w:rsidRDefault="001B1D00" w:rsidP="001B1D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a. Lilliefors Significance Correction</w:t>
            </w:r>
          </w:p>
        </w:tc>
      </w:tr>
    </w:tbl>
    <w:p w14:paraId="062EB9F8" w14:textId="74947D1A" w:rsidR="006052E8" w:rsidRPr="00787BBD" w:rsidRDefault="006052E8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Berdasarkan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Tests of Normality yang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dilakukan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melalui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uji Kolmogorov-Smirnov dan Shapiro-Wilk,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diperoleh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signifikansi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(Sig.)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seluruh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diteliti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Pretest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Pretest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dan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di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bawah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ambang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0,05,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0,000. Hal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keempat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tidak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memenuhi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normal,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baik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berdasarkan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uji Kolmogorov-Smirnov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maupun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Shapiro-Wilk.</w:t>
      </w:r>
    </w:p>
    <w:p w14:paraId="43E7B5FC" w14:textId="6EAAF2FE" w:rsidR="006052E8" w:rsidRPr="00787BBD" w:rsidRDefault="006052E8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Dalam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konteks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analisis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statistik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normal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merupakan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salah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satu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prasyarat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penting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penerapan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uji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parametrik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seperti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paired sample t-test.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Namun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karena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data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tidak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berdistribusi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normal,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pendekatan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non-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parametrik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dianggap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sesuai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. Oleh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karena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sebagai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alternatif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uji t,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analisis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perbandingan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antara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pretest dan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dilakukan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menggunakan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uji Wilcoxon. Uji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tidak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mensyaratkan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sehingga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tepat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kondisi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data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seperti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A741CC2" w14:textId="2B3D6DD3" w:rsidR="001B1D00" w:rsidRPr="00787BBD" w:rsidRDefault="006052E8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demikian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uji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penggunaan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uji Wilcoxon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valid dan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akurat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mengidentifikasi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perbedaan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skor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sebelum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sesudah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intervensi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dibandingkan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penggunaan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uji t.</w:t>
      </w:r>
    </w:p>
    <w:p w14:paraId="50A2394F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7BB9029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B32782D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51BEC92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58A2524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50C5BBB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1038183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9DE5D7D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E758264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EB667BF" w14:textId="77777777" w:rsidR="00787BBD" w:rsidRPr="00787BBD" w:rsidRDefault="00787BBD" w:rsidP="006052E8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E725EB1" w14:textId="77777777" w:rsidR="001B1D00" w:rsidRPr="00787BBD" w:rsidRDefault="001B1D00" w:rsidP="001B1D00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2371679F" w14:textId="462C93D1" w:rsidR="001B1D00" w:rsidRPr="00787BBD" w:rsidRDefault="001B1D00" w:rsidP="001B1D00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787BBD">
        <w:rPr>
          <w:rFonts w:ascii="Times New Roman" w:hAnsi="Times New Roman" w:cs="Times New Roman"/>
          <w:b/>
          <w:bCs/>
          <w:sz w:val="24"/>
          <w:szCs w:val="24"/>
        </w:rPr>
        <w:lastRenderedPageBreak/>
        <w:t>Uji Deskriptif</w:t>
      </w:r>
    </w:p>
    <w:p w14:paraId="5E656B6D" w14:textId="77777777" w:rsidR="00787BBD" w:rsidRPr="00787BBD" w:rsidRDefault="00787BBD" w:rsidP="00787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10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169"/>
        <w:gridCol w:w="1030"/>
        <w:gridCol w:w="1399"/>
        <w:gridCol w:w="1476"/>
      </w:tblGrid>
      <w:tr w:rsidR="00787BBD" w:rsidRPr="00787BBD" w14:paraId="1C68AF54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D70F0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Jenis Kelamin</w:t>
            </w:r>
          </w:p>
        </w:tc>
      </w:tr>
      <w:tr w:rsidR="00787BBD" w:rsidRPr="00787BBD" w14:paraId="4FEB7A32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1AE21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60452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49B70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FF0A1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32F4F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Cumulative Percent</w:t>
            </w:r>
          </w:p>
        </w:tc>
      </w:tr>
      <w:tr w:rsidR="00787BBD" w:rsidRPr="00787BBD" w14:paraId="6F178BAC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BBB64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Valid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D24D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Laki-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laki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8A9AB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5EB6E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13.9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9A790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13.9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21F09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13.9</w:t>
            </w:r>
          </w:p>
        </w:tc>
      </w:tr>
      <w:tr w:rsidR="00787BBD" w:rsidRPr="00787BBD" w14:paraId="42D82D15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5635E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DBDE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Perempuan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4AED3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173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7ADD1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86.1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81EA6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86.1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0AE3F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</w:tr>
      <w:tr w:rsidR="00787BBD" w:rsidRPr="00787BBD" w14:paraId="4E112FEC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465AD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18C12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B5D7B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227C4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05701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4AB636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46851D8" w14:textId="77777777" w:rsidR="00787BBD" w:rsidRPr="00787BBD" w:rsidRDefault="00787BBD" w:rsidP="00787BB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3885177" w14:textId="5519C505" w:rsidR="00787BBD" w:rsidRPr="00787BBD" w:rsidRDefault="00787BBD" w:rsidP="00787B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tabulasi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total 201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mayoritas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perempuan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173 orang (86,1%),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laki-laki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berjumlah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28 orang (13,9%).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Persentase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keterlibatan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didominasi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perempuan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teridentifikasi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lengkap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(</w:t>
      </w:r>
      <w:r w:rsidRPr="00787BBD">
        <w:rPr>
          <w:rFonts w:ascii="Times New Roman" w:hAnsi="Times New Roman" w:cs="Times New Roman"/>
          <w:i/>
          <w:iCs/>
          <w:sz w:val="24"/>
          <w:szCs w:val="24"/>
        </w:rPr>
        <w:t>missing value</w:t>
      </w:r>
      <w:r w:rsidRPr="00787BBD"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.</w:t>
      </w:r>
    </w:p>
    <w:p w14:paraId="45EB4AA1" w14:textId="77777777" w:rsidR="00787BBD" w:rsidRPr="00787BBD" w:rsidRDefault="00787BBD" w:rsidP="00787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787BBD" w:rsidRPr="00787BBD" w14:paraId="43D5B8BE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9ACDC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proofErr w:type="spellStart"/>
            <w:r w:rsidRPr="00787BBD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Usia</w:t>
            </w:r>
            <w:proofErr w:type="spellEnd"/>
          </w:p>
        </w:tc>
      </w:tr>
      <w:tr w:rsidR="00787BBD" w:rsidRPr="00787BBD" w14:paraId="38D4A5A5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1D1C5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D48B0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E71E9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8DF2A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A2E26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Cumulative Percent</w:t>
            </w:r>
          </w:p>
        </w:tc>
      </w:tr>
      <w:tr w:rsidR="00787BBD" w:rsidRPr="00787BBD" w14:paraId="093E29B1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E37A1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EB0D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59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624F8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92468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1.5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7E03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1.5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51628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1.5</w:t>
            </w:r>
          </w:p>
        </w:tc>
      </w:tr>
      <w:tr w:rsidR="00787BBD" w:rsidRPr="00787BBD" w14:paraId="4F7FC117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D231F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368D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60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6A862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A8816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32.3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78DEA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32.3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017F5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33.8</w:t>
            </w:r>
          </w:p>
        </w:tc>
      </w:tr>
      <w:tr w:rsidR="00787BBD" w:rsidRPr="00787BBD" w14:paraId="6EE08235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1F72E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9240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61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37D4E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F013E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4.0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39AC7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4.0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9B0A2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37.8</w:t>
            </w:r>
          </w:p>
        </w:tc>
      </w:tr>
      <w:tr w:rsidR="00787BBD" w:rsidRPr="00787BBD" w14:paraId="166059F2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F00C9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FAE8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7781A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B5D33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75906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31463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46.3</w:t>
            </w:r>
          </w:p>
        </w:tc>
      </w:tr>
      <w:tr w:rsidR="00787BBD" w:rsidRPr="00787BBD" w14:paraId="3D979F1E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674CF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168F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24AA8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AE5B2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ECA34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4134E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54.2</w:t>
            </w:r>
          </w:p>
        </w:tc>
      </w:tr>
      <w:tr w:rsidR="00787BBD" w:rsidRPr="00787BBD" w14:paraId="76C2F872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C01EE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DB95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6D08F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FDC00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BC8D4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84DA9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57.2</w:t>
            </w:r>
          </w:p>
        </w:tc>
      </w:tr>
      <w:tr w:rsidR="00787BBD" w:rsidRPr="00787BBD" w14:paraId="2BC7DC10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C2179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FBE2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65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FF47F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77DDF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8B187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37190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63.2</w:t>
            </w:r>
          </w:p>
        </w:tc>
      </w:tr>
      <w:tr w:rsidR="00787BBD" w:rsidRPr="00787BBD" w14:paraId="7B52B096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52265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5608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66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A4BFC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5D4F7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BE67D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A2744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66.2</w:t>
            </w:r>
          </w:p>
        </w:tc>
      </w:tr>
      <w:tr w:rsidR="00787BBD" w:rsidRPr="00787BBD" w14:paraId="005E14DF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4D559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864E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67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A2F75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771C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D51A3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5C776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72.1</w:t>
            </w:r>
          </w:p>
        </w:tc>
      </w:tr>
      <w:tr w:rsidR="00787BBD" w:rsidRPr="00787BBD" w14:paraId="53D439A9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53700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E6FA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68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0F169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E36C0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B5724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EE378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77.6</w:t>
            </w:r>
          </w:p>
        </w:tc>
      </w:tr>
      <w:tr w:rsidR="00787BBD" w:rsidRPr="00787BBD" w14:paraId="554105CB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B4F48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549E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69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C1674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A4F83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D46BB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353BB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82.6</w:t>
            </w:r>
          </w:p>
        </w:tc>
      </w:tr>
      <w:tr w:rsidR="00787BBD" w:rsidRPr="00787BBD" w14:paraId="02F6D28D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88119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6B2D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70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D74FF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23DEF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2CBB7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1F832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88.1</w:t>
            </w:r>
          </w:p>
        </w:tc>
      </w:tr>
      <w:tr w:rsidR="00787BBD" w:rsidRPr="00787BBD" w14:paraId="14035F7A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F8100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B240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71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F2D2D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8FBDA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B7BF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7EC97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89.6</w:t>
            </w:r>
          </w:p>
        </w:tc>
      </w:tr>
      <w:tr w:rsidR="00787BBD" w:rsidRPr="00787BBD" w14:paraId="05B0C293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729A3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33A7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72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361B0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B7BFC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45D04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54CFB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91.5</w:t>
            </w:r>
          </w:p>
        </w:tc>
      </w:tr>
      <w:tr w:rsidR="00787BBD" w:rsidRPr="00787BBD" w14:paraId="3E96EFD5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252BE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117CE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73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28BA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E473A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60D1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A1C88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93.5</w:t>
            </w:r>
          </w:p>
        </w:tc>
      </w:tr>
      <w:tr w:rsidR="00787BBD" w:rsidRPr="00787BBD" w14:paraId="053ABDA9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7BA3D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8F9F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74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AA85E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DF842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DC829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8B835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94.5</w:t>
            </w:r>
          </w:p>
        </w:tc>
      </w:tr>
      <w:tr w:rsidR="00787BBD" w:rsidRPr="00787BBD" w14:paraId="50724EC8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8AA51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BE24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75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55B5B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28C5C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777A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F4E7E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95.5</w:t>
            </w:r>
          </w:p>
        </w:tc>
      </w:tr>
      <w:tr w:rsidR="00787BBD" w:rsidRPr="00787BBD" w14:paraId="493DC6E8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45353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80BD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76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8A6D0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4808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447C1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5A24A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96.0</w:t>
            </w:r>
          </w:p>
        </w:tc>
      </w:tr>
      <w:tr w:rsidR="00787BBD" w:rsidRPr="00787BBD" w14:paraId="12551A26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0485C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BFDE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77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994B8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F28EF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63AAA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963AA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98.5</w:t>
            </w:r>
          </w:p>
        </w:tc>
      </w:tr>
      <w:tr w:rsidR="00787BBD" w:rsidRPr="00787BBD" w14:paraId="40228464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D8D27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FBF1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78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23436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DDA30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C430D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9368A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99.0</w:t>
            </w:r>
          </w:p>
        </w:tc>
      </w:tr>
      <w:tr w:rsidR="00787BBD" w:rsidRPr="00787BBD" w14:paraId="7C8DD2F8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3DD33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D75A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81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F7146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D6AEF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03748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9A326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99.5</w:t>
            </w:r>
          </w:p>
        </w:tc>
      </w:tr>
      <w:tr w:rsidR="00787BBD" w:rsidRPr="00787BBD" w14:paraId="1F3521F8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E35DA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D406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88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ECED6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5DADB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DF139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FF38D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</w:tr>
      <w:tr w:rsidR="00787BBD" w:rsidRPr="00787BBD" w14:paraId="6F518766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64FCF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49495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8FCF5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115D8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3DA44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FD37C3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EA36020" w14:textId="77777777" w:rsidR="00787BBD" w:rsidRPr="00787BBD" w:rsidRDefault="00787BBD" w:rsidP="00787BB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lastRenderedPageBreak/>
        <w:t>Sebanyak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201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rentang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luas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antara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59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88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tahun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Distribusi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terbanyak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kelompok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60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tahun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65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(32,3%), yang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merupakan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sepertiga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total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sampel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Kelompok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lain yang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cukup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dominan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adalah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62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tahun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(8,5%), 63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tahun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(8,0%), dan 67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tahun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(6,0%).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Sementara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tertua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tercatat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adalah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88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tahun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dan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termuda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adalah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59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tahun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masing-masing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proporsi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0,5% dan 1,5%.</w:t>
      </w:r>
    </w:p>
    <w:p w14:paraId="7CAB5EA6" w14:textId="77777777" w:rsidR="00787BBD" w:rsidRPr="00787BBD" w:rsidRDefault="00787BBD" w:rsidP="00787BBD">
      <w:pPr>
        <w:autoSpaceDE w:val="0"/>
        <w:autoSpaceDN w:val="0"/>
        <w:adjustRightInd w:val="0"/>
        <w:spacing w:after="0" w:line="400" w:lineRule="atLeast"/>
        <w:ind w:firstLine="567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Sebagian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rentang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60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hingga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70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tahun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yang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mencerminkan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karakteristik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populasi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target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kelompok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lanjut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. Tidak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terdapat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data yang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hilang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r w:rsidRPr="00787BBD">
        <w:rPr>
          <w:rFonts w:ascii="Times New Roman" w:hAnsi="Times New Roman" w:cs="Times New Roman"/>
          <w:i/>
          <w:iCs/>
          <w:kern w:val="0"/>
          <w:sz w:val="24"/>
          <w:szCs w:val="24"/>
        </w:rPr>
        <w:t>missing value</w:t>
      </w:r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) pada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usia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sehingga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analisis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dilakukan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menyeluruh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seluruh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kern w:val="0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0A41587" w14:textId="77777777" w:rsidR="00787BBD" w:rsidRPr="00787BBD" w:rsidRDefault="00787BBD" w:rsidP="00787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30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91"/>
        <w:gridCol w:w="1169"/>
        <w:gridCol w:w="1030"/>
        <w:gridCol w:w="1399"/>
        <w:gridCol w:w="1476"/>
      </w:tblGrid>
      <w:tr w:rsidR="00787BBD" w:rsidRPr="00787BBD" w14:paraId="0E35B424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2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DAB3F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Pendidikan Terakhir</w:t>
            </w:r>
          </w:p>
        </w:tc>
      </w:tr>
      <w:tr w:rsidR="00787BBD" w:rsidRPr="00787BBD" w14:paraId="526A46F2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2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4C742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1133B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FADA9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A183A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44E74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Cumulative Percent</w:t>
            </w:r>
          </w:p>
        </w:tc>
      </w:tr>
      <w:tr w:rsidR="00787BBD" w:rsidRPr="00787BBD" w14:paraId="598CE78B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3080D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Valid</w:t>
            </w:r>
          </w:p>
        </w:tc>
        <w:tc>
          <w:tcPr>
            <w:tcW w:w="149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A8FA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Tidak 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F6605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DC00C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63A6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CAEA5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.5</w:t>
            </w:r>
          </w:p>
        </w:tc>
      </w:tr>
      <w:tr w:rsidR="00787BBD" w:rsidRPr="00787BBD" w14:paraId="4C4A817F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9B947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B725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SD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7D8C8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840D1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17.9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F7690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17.9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83F49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18.4</w:t>
            </w:r>
          </w:p>
        </w:tc>
      </w:tr>
      <w:tr w:rsidR="00787BBD" w:rsidRPr="00787BBD" w14:paraId="7F1B7755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56B3A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7420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SMP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EC9BA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42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1CF7D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20.9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5DC61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20.9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84E39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39.3</w:t>
            </w:r>
          </w:p>
        </w:tc>
      </w:tr>
      <w:tr w:rsidR="00787BBD" w:rsidRPr="00787BBD" w14:paraId="3B39227D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BDFE8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A444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SMA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7948D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78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EBD75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38.8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0F4C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38.8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AB5DC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78.1</w:t>
            </w:r>
          </w:p>
        </w:tc>
      </w:tr>
      <w:tr w:rsidR="00787BBD" w:rsidRPr="00787BBD" w14:paraId="0B4518E3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ECD9A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7612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Sarjana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07859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9DAD7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21.9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417A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21.9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DD2E4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</w:tr>
      <w:tr w:rsidR="00787BBD" w:rsidRPr="00787BBD" w14:paraId="37B04226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D86DB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F5061B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F7F56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8D4D3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D86C6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6C2BBE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FE6777B" w14:textId="77777777" w:rsidR="00787BBD" w:rsidRPr="00787BBD" w:rsidRDefault="00787BBD" w:rsidP="00787BB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77C765A" w14:textId="77777777" w:rsidR="00787BBD" w:rsidRP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201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beragam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Mayoritas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lulusan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Atas (SMA),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78 orang (38,8%).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terbanyak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lulusan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Sarjana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44 orang (21,9%),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diikuti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lulusan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SMP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42 orang (20,9%),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lulusan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SD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36 orang (17,9%). Hanya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(0,5%)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tercatat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mengenyam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formal.</w:t>
      </w:r>
    </w:p>
    <w:p w14:paraId="0CD533F0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Temuan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sebagian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memengaruhi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dikaji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tercatat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lengkap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.</w:t>
      </w:r>
    </w:p>
    <w:p w14:paraId="356FABF9" w14:textId="77777777" w:rsidR="00787BBD" w:rsidRPr="00787BBD" w:rsidRDefault="00787BBD" w:rsidP="00787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006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0"/>
        <w:gridCol w:w="1045"/>
        <w:gridCol w:w="1045"/>
        <w:gridCol w:w="1093"/>
        <w:gridCol w:w="1124"/>
        <w:gridCol w:w="1046"/>
        <w:gridCol w:w="1467"/>
        <w:gridCol w:w="1046"/>
      </w:tblGrid>
      <w:tr w:rsidR="00787BBD" w:rsidRPr="00787BBD" w14:paraId="65F602C2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0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2531D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787BBD">
              <w:rPr>
                <w:rFonts w:ascii="Arial" w:hAnsi="Arial" w:cs="Arial"/>
                <w:b/>
                <w:bCs/>
                <w:color w:val="010205"/>
                <w:kern w:val="0"/>
              </w:rPr>
              <w:t>Descriptive Statistics</w:t>
            </w:r>
          </w:p>
        </w:tc>
      </w:tr>
      <w:tr w:rsidR="00787BBD" w:rsidRPr="00787BBD" w14:paraId="02201621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D4BDC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80FA9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1B674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Range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54D2A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2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22005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7337B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6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2D069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621DD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Variance</w:t>
            </w:r>
          </w:p>
        </w:tc>
      </w:tr>
      <w:tr w:rsidR="00787BBD" w:rsidRPr="00787BBD" w14:paraId="1CDA39FC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DB2F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Pretest </w:t>
            </w:r>
            <w:proofErr w:type="spellStart"/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Pengetahuan</w:t>
            </w:r>
            <w:proofErr w:type="spellEnd"/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C7E32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176A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12B73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12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0AC5A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4DF60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6.55</w:t>
            </w:r>
          </w:p>
        </w:tc>
        <w:tc>
          <w:tcPr>
            <w:tcW w:w="14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E5551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2.271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FF5E8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5.159</w:t>
            </w:r>
          </w:p>
        </w:tc>
      </w:tr>
      <w:tr w:rsidR="00787BBD" w:rsidRPr="00787BBD" w14:paraId="27A06F7B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F435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Pretest </w:t>
            </w:r>
            <w:proofErr w:type="spellStart"/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Kepatuhan</w:t>
            </w:r>
            <w:proofErr w:type="spellEnd"/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6ABA2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232FA8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E816A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1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9B73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B7B6A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6.01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E77C3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1.707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95F9E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2.915</w:t>
            </w:r>
          </w:p>
        </w:tc>
      </w:tr>
      <w:tr w:rsidR="00787BBD" w:rsidRPr="00787BBD" w14:paraId="508BA497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1786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Posttest</w:t>
            </w:r>
            <w:proofErr w:type="spellEnd"/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Pengetahuan</w:t>
            </w:r>
            <w:proofErr w:type="spellEnd"/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D4120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C3985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B9061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1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2CA10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2AC4F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7.85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D20FE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1.330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B87C76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1.768</w:t>
            </w:r>
          </w:p>
        </w:tc>
      </w:tr>
      <w:tr w:rsidR="00787BBD" w:rsidRPr="00787BBD" w14:paraId="41FCC823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61A0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Posttenst</w:t>
            </w:r>
            <w:proofErr w:type="spellEnd"/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Kepatuhan</w:t>
            </w:r>
            <w:proofErr w:type="spellEnd"/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90A0C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75F61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6FE3B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7EF4BC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7FBED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7.03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C82EC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.956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B7030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.914</w:t>
            </w:r>
          </w:p>
        </w:tc>
      </w:tr>
      <w:tr w:rsidR="00787BBD" w:rsidRPr="00787BBD" w14:paraId="5074FB61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96CC5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N (listwise)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293BF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7B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DEDFB7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DD61AA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9C8E7CF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B71CF10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8214AA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039476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198C242" w14:textId="77777777" w:rsidR="00787BBD" w:rsidRP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sz w:val="24"/>
          <w:szCs w:val="24"/>
        </w:rPr>
        <w:lastRenderedPageBreak/>
        <w:t>Statistik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gambaran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r w:rsidRPr="00787BBD">
        <w:rPr>
          <w:rFonts w:ascii="Times New Roman" w:hAnsi="Times New Roman" w:cs="Times New Roman"/>
          <w:i/>
          <w:iCs/>
          <w:sz w:val="24"/>
          <w:szCs w:val="24"/>
        </w:rPr>
        <w:t>pretest</w:t>
      </w:r>
      <w:r w:rsidRPr="00787BB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7BBD">
        <w:rPr>
          <w:rFonts w:ascii="Times New Roman" w:hAnsi="Times New Roman" w:cs="Times New Roman"/>
          <w:i/>
          <w:iCs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201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:</w:t>
      </w:r>
    </w:p>
    <w:p w14:paraId="7C610F93" w14:textId="77777777" w:rsidR="00787BBD" w:rsidRPr="00787BBD" w:rsidRDefault="00787BBD" w:rsidP="00787BB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7BBD">
        <w:rPr>
          <w:rFonts w:ascii="Times New Roman" w:hAnsi="Times New Roman" w:cs="Times New Roman"/>
          <w:sz w:val="24"/>
          <w:szCs w:val="24"/>
        </w:rPr>
        <w:t xml:space="preserve">Pretest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minimum 0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10,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rata-rata (mean)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6,55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simpangan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baku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deviasi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2,271.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Rentang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.</w:t>
      </w:r>
    </w:p>
    <w:p w14:paraId="329F840C" w14:textId="77777777" w:rsidR="00787BBD" w:rsidRPr="00787BBD" w:rsidRDefault="00787BBD" w:rsidP="00787BB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7BBD">
        <w:rPr>
          <w:rFonts w:ascii="Times New Roman" w:hAnsi="Times New Roman" w:cs="Times New Roman"/>
          <w:sz w:val="24"/>
          <w:szCs w:val="24"/>
        </w:rPr>
        <w:t xml:space="preserve">Pretest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minimum 0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8,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rata-rata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6,01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simpangan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baku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1,707.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Varians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rendah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dibanding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mengindikasikan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homogen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.</w:t>
      </w:r>
    </w:p>
    <w:p w14:paraId="2C998DC3" w14:textId="77777777" w:rsidR="00787BBD" w:rsidRPr="00787BBD" w:rsidRDefault="00787BBD" w:rsidP="00787BB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minimum 3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10,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rata-rata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7,85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simpangan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baku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1,330.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pretest,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rata-rata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mengindikasikan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merata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.</w:t>
      </w:r>
    </w:p>
    <w:p w14:paraId="19E03DAC" w14:textId="77777777" w:rsidR="00787BBD" w:rsidRPr="00787BBD" w:rsidRDefault="00787BBD" w:rsidP="00787BB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tren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serupa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minimum 4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maksimum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8, rata-rata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7,03,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simpangan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baku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0,956. Nilai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rata-rata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relatif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.</w:t>
      </w:r>
    </w:p>
    <w:p w14:paraId="4AAA9C11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. Nilai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simpangan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baku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menurun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mengindikasikan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konsisten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antarresponden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pretest.</w:t>
      </w:r>
    </w:p>
    <w:p w14:paraId="38826171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10EB81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F589C1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EB96F0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67752C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04265E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4AB5A3C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43EA9C3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BC8CBE" w14:textId="77777777" w:rsid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46F703" w14:textId="77777777" w:rsidR="00787BBD" w:rsidRP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F7AF41" w14:textId="77777777" w:rsidR="00787BBD" w:rsidRP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663414" w14:textId="77777777" w:rsidR="00787BBD" w:rsidRPr="00787BBD" w:rsidRDefault="00787BBD" w:rsidP="00787B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7BE840" w14:textId="77777777" w:rsidR="00787BBD" w:rsidRPr="00787BBD" w:rsidRDefault="00787BBD" w:rsidP="00787B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60A69B" w14:textId="77777777" w:rsidR="00787BBD" w:rsidRPr="00787BBD" w:rsidRDefault="00787BBD" w:rsidP="00787B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1FEBC3" w14:textId="77777777" w:rsidR="00787BBD" w:rsidRPr="00787BBD" w:rsidRDefault="00787BBD" w:rsidP="00787B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79C21F" w14:textId="77777777" w:rsidR="00787BBD" w:rsidRPr="00787BBD" w:rsidRDefault="00787BBD" w:rsidP="00787B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6C885E" w14:textId="77777777" w:rsidR="00787BBD" w:rsidRPr="00787BBD" w:rsidRDefault="00787BBD" w:rsidP="00787B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597EFD" w14:textId="77777777" w:rsidR="00787BBD" w:rsidRPr="00787BBD" w:rsidRDefault="00787BBD" w:rsidP="00787B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AB3E5D" w14:textId="77777777" w:rsidR="00787BBD" w:rsidRPr="00787BBD" w:rsidRDefault="00787BBD" w:rsidP="00787B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B9F66C" w14:textId="257CB570" w:rsidR="001B1D00" w:rsidRPr="00787BBD" w:rsidRDefault="001B1D00" w:rsidP="001B1D00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787BBD">
        <w:rPr>
          <w:rFonts w:ascii="Times New Roman" w:hAnsi="Times New Roman" w:cs="Times New Roman"/>
          <w:b/>
          <w:bCs/>
          <w:sz w:val="24"/>
          <w:szCs w:val="24"/>
        </w:rPr>
        <w:lastRenderedPageBreak/>
        <w:t>Uji Wilcoxon</w:t>
      </w:r>
    </w:p>
    <w:p w14:paraId="40EF4C69" w14:textId="77777777" w:rsidR="00787BBD" w:rsidRPr="00787BBD" w:rsidRDefault="00787BBD" w:rsidP="00787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02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4"/>
        <w:gridCol w:w="1476"/>
        <w:gridCol w:w="1476"/>
      </w:tblGrid>
      <w:tr w:rsidR="00787BBD" w:rsidRPr="00787BBD" w14:paraId="0F2FB106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533BF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 xml:space="preserve">Test </w:t>
            </w:r>
            <w:proofErr w:type="spellStart"/>
            <w:r w:rsidRPr="00787BBD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Statistics</w:t>
            </w:r>
            <w:r w:rsidRPr="00787BBD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787BBD" w:rsidRPr="00787BBD" w14:paraId="407F0DDC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A6DB3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33C07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Posttest</w:t>
            </w:r>
            <w:proofErr w:type="spellEnd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Pengetahuan</w:t>
            </w:r>
            <w:proofErr w:type="spellEnd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- Pretest 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Pengetahuan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6C6583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Posttenst</w:t>
            </w:r>
            <w:proofErr w:type="spellEnd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Kepatuhan</w:t>
            </w:r>
            <w:proofErr w:type="spellEnd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- Pretest </w:t>
            </w: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Kepatuhan</w:t>
            </w:r>
            <w:proofErr w:type="spellEnd"/>
          </w:p>
        </w:tc>
      </w:tr>
      <w:tr w:rsidR="00787BBD" w:rsidRPr="00787BBD" w14:paraId="777097F3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7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37E65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Z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54E1D9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-10.624</w:t>
            </w: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693704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-9.767</w:t>
            </w: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  <w:vertAlign w:val="superscript"/>
              </w:rPr>
              <w:t>b</w:t>
            </w:r>
          </w:p>
        </w:tc>
      </w:tr>
      <w:tr w:rsidR="00787BBD" w:rsidRPr="00787BBD" w14:paraId="2D45022F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823D17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Asymp</w:t>
            </w:r>
            <w:proofErr w:type="spellEnd"/>
            <w:r w:rsidRPr="00787BBD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6E5FEA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5627591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</w:tr>
      <w:tr w:rsidR="00787BBD" w:rsidRPr="00787BBD" w14:paraId="607A2DB9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719BFE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a. Wilcoxon Signed Ranks Test</w:t>
            </w:r>
          </w:p>
        </w:tc>
      </w:tr>
      <w:tr w:rsidR="00787BBD" w:rsidRPr="00787BBD" w14:paraId="05C9EE44" w14:textId="77777777" w:rsidTr="00787BB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38F2DD" w14:textId="77777777" w:rsidR="00787BBD" w:rsidRPr="00787BBD" w:rsidRDefault="00787BBD" w:rsidP="00787B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787BBD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b. Based on negative ranks.</w:t>
            </w:r>
          </w:p>
        </w:tc>
      </w:tr>
    </w:tbl>
    <w:p w14:paraId="02CC2695" w14:textId="77777777" w:rsidR="00787BBD" w:rsidRP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58368A" w14:textId="5985F31B" w:rsidR="00787BBD" w:rsidRP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7BB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pretest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uji Wilcoxon Signed-Rank Test,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berdistribusi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normal. Hasil uji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.</w:t>
      </w:r>
    </w:p>
    <w:p w14:paraId="03580608" w14:textId="452B124A" w:rsidR="00787BBD" w:rsidRP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BBD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-10,624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Asymp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. Sig. 2-tailed)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0,000 (p &lt; 0,05),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Begitu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pula pada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-9,767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0,000 juga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pretest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.</w:t>
      </w:r>
    </w:p>
    <w:p w14:paraId="6896A394" w14:textId="62EC0E76" w:rsidR="006052E8" w:rsidRPr="00787BBD" w:rsidRDefault="00787BBD" w:rsidP="00787B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BBD">
        <w:rPr>
          <w:rFonts w:ascii="Times New Roman" w:hAnsi="Times New Roman" w:cs="Times New Roman"/>
          <w:sz w:val="24"/>
          <w:szCs w:val="24"/>
        </w:rPr>
        <w:t xml:space="preserve">Nilai Z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negative ranks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mengindikasikan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mayoritas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posttest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dibanding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pretest,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intervensi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kepatuhan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BBD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787BBD">
        <w:rPr>
          <w:rFonts w:ascii="Times New Roman" w:hAnsi="Times New Roman" w:cs="Times New Roman"/>
          <w:sz w:val="24"/>
          <w:szCs w:val="24"/>
        </w:rPr>
        <w:t>.</w:t>
      </w:r>
    </w:p>
    <w:sectPr w:rsidR="006052E8" w:rsidRPr="00787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504C9"/>
    <w:multiLevelType w:val="multilevel"/>
    <w:tmpl w:val="8D240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FD7F6E"/>
    <w:multiLevelType w:val="hybridMultilevel"/>
    <w:tmpl w:val="FF52B3EC"/>
    <w:lvl w:ilvl="0" w:tplc="3809000F">
      <w:start w:val="1"/>
      <w:numFmt w:val="decimal"/>
      <w:lvlText w:val="%1."/>
      <w:lvlJc w:val="left"/>
      <w:pPr>
        <w:ind w:left="9433" w:hanging="360"/>
      </w:pPr>
    </w:lvl>
    <w:lvl w:ilvl="1" w:tplc="38090019" w:tentative="1">
      <w:start w:val="1"/>
      <w:numFmt w:val="lowerLetter"/>
      <w:lvlText w:val="%2."/>
      <w:lvlJc w:val="left"/>
      <w:pPr>
        <w:ind w:left="10153" w:hanging="360"/>
      </w:pPr>
    </w:lvl>
    <w:lvl w:ilvl="2" w:tplc="3809001B" w:tentative="1">
      <w:start w:val="1"/>
      <w:numFmt w:val="lowerRoman"/>
      <w:lvlText w:val="%3."/>
      <w:lvlJc w:val="right"/>
      <w:pPr>
        <w:ind w:left="10873" w:hanging="180"/>
      </w:pPr>
    </w:lvl>
    <w:lvl w:ilvl="3" w:tplc="3809000F" w:tentative="1">
      <w:start w:val="1"/>
      <w:numFmt w:val="decimal"/>
      <w:lvlText w:val="%4."/>
      <w:lvlJc w:val="left"/>
      <w:pPr>
        <w:ind w:left="11593" w:hanging="360"/>
      </w:pPr>
    </w:lvl>
    <w:lvl w:ilvl="4" w:tplc="38090019" w:tentative="1">
      <w:start w:val="1"/>
      <w:numFmt w:val="lowerLetter"/>
      <w:lvlText w:val="%5."/>
      <w:lvlJc w:val="left"/>
      <w:pPr>
        <w:ind w:left="12313" w:hanging="360"/>
      </w:pPr>
    </w:lvl>
    <w:lvl w:ilvl="5" w:tplc="3809001B" w:tentative="1">
      <w:start w:val="1"/>
      <w:numFmt w:val="lowerRoman"/>
      <w:lvlText w:val="%6."/>
      <w:lvlJc w:val="right"/>
      <w:pPr>
        <w:ind w:left="13033" w:hanging="180"/>
      </w:pPr>
    </w:lvl>
    <w:lvl w:ilvl="6" w:tplc="3809000F" w:tentative="1">
      <w:start w:val="1"/>
      <w:numFmt w:val="decimal"/>
      <w:lvlText w:val="%7."/>
      <w:lvlJc w:val="left"/>
      <w:pPr>
        <w:ind w:left="13753" w:hanging="360"/>
      </w:pPr>
    </w:lvl>
    <w:lvl w:ilvl="7" w:tplc="38090019" w:tentative="1">
      <w:start w:val="1"/>
      <w:numFmt w:val="lowerLetter"/>
      <w:lvlText w:val="%8."/>
      <w:lvlJc w:val="left"/>
      <w:pPr>
        <w:ind w:left="14473" w:hanging="360"/>
      </w:pPr>
    </w:lvl>
    <w:lvl w:ilvl="8" w:tplc="3809001B" w:tentative="1">
      <w:start w:val="1"/>
      <w:numFmt w:val="lowerRoman"/>
      <w:lvlText w:val="%9."/>
      <w:lvlJc w:val="right"/>
      <w:pPr>
        <w:ind w:left="15193" w:hanging="180"/>
      </w:pPr>
    </w:lvl>
  </w:abstractNum>
  <w:num w:numId="1" w16cid:durableId="1428041326">
    <w:abstractNumId w:val="1"/>
  </w:num>
  <w:num w:numId="2" w16cid:durableId="204783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D00"/>
    <w:rsid w:val="00183474"/>
    <w:rsid w:val="001B1D00"/>
    <w:rsid w:val="00293CDF"/>
    <w:rsid w:val="002B7876"/>
    <w:rsid w:val="00393E42"/>
    <w:rsid w:val="003C183C"/>
    <w:rsid w:val="00482110"/>
    <w:rsid w:val="004A3523"/>
    <w:rsid w:val="006052E8"/>
    <w:rsid w:val="006D701D"/>
    <w:rsid w:val="00787BBD"/>
    <w:rsid w:val="007B6A05"/>
    <w:rsid w:val="008C12AA"/>
    <w:rsid w:val="009E49F1"/>
    <w:rsid w:val="00A345B8"/>
    <w:rsid w:val="00A85A8C"/>
    <w:rsid w:val="00BC3313"/>
    <w:rsid w:val="00BE36AC"/>
    <w:rsid w:val="00C148DE"/>
    <w:rsid w:val="00ED452F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E0595"/>
  <w15:chartTrackingRefBased/>
  <w15:docId w15:val="{7878E81E-58E9-4FBB-9442-8A22F037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1D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1D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1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1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1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1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1D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D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1D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1D0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1D0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1D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1D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1D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1D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1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1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1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1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1D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1D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1D0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1D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1D0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1D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7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Bagus Kurniawan</dc:creator>
  <cp:keywords/>
  <dc:description/>
  <cp:lastModifiedBy>BTX LP0172</cp:lastModifiedBy>
  <cp:revision>2</cp:revision>
  <dcterms:created xsi:type="dcterms:W3CDTF">2025-07-22T14:16:00Z</dcterms:created>
  <dcterms:modified xsi:type="dcterms:W3CDTF">2025-07-23T04:52:00Z</dcterms:modified>
</cp:coreProperties>
</file>